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A" w:rsidRDefault="00AA489A" w:rsidP="00AA489A">
      <w:pPr>
        <w:pStyle w:val="Nagwek2"/>
        <w:pBdr>
          <w:bottom w:val="single" w:sz="4" w:space="4" w:color="auto"/>
        </w:pBdr>
        <w:shd w:val="clear" w:color="auto" w:fill="F5EBE5"/>
        <w:spacing w:before="480" w:after="240" w:line="432" w:lineRule="atLeast"/>
        <w:rPr>
          <w:rFonts w:ascii="Arial" w:hAnsi="Arial" w:cs="Arial"/>
          <w:color w:val="1B1A3B"/>
          <w:sz w:val="43"/>
          <w:szCs w:val="43"/>
        </w:rPr>
      </w:pPr>
      <w:r>
        <w:rPr>
          <w:rFonts w:ascii="Arial" w:hAnsi="Arial" w:cs="Arial"/>
          <w:color w:val="1B1A3B"/>
          <w:sz w:val="43"/>
          <w:szCs w:val="43"/>
        </w:rPr>
        <w:t xml:space="preserve">A Polska – SAFE </w:t>
      </w:r>
      <w:proofErr w:type="spellStart"/>
      <w:r>
        <w:rPr>
          <w:rFonts w:ascii="Arial" w:hAnsi="Arial" w:cs="Arial"/>
          <w:color w:val="1B1A3B"/>
          <w:sz w:val="43"/>
          <w:szCs w:val="43"/>
        </w:rPr>
        <w:t>or</w:t>
      </w:r>
      <w:proofErr w:type="spellEnd"/>
      <w:r>
        <w:rPr>
          <w:rFonts w:ascii="Arial" w:hAnsi="Arial" w:cs="Arial"/>
          <w:color w:val="1B1A3B"/>
          <w:sz w:val="43"/>
          <w:szCs w:val="43"/>
        </w:rPr>
        <w:t xml:space="preserve"> not </w:t>
      </w:r>
      <w:proofErr w:type="spellStart"/>
      <w:r>
        <w:rPr>
          <w:rFonts w:ascii="Arial" w:hAnsi="Arial" w:cs="Arial"/>
          <w:color w:val="1B1A3B"/>
          <w:sz w:val="43"/>
          <w:szCs w:val="43"/>
        </w:rPr>
        <w:t>safe</w:t>
      </w:r>
      <w:proofErr w:type="spellEnd"/>
      <w:r>
        <w:rPr>
          <w:rFonts w:ascii="Arial" w:hAnsi="Arial" w:cs="Arial"/>
          <w:color w:val="1B1A3B"/>
          <w:sz w:val="43"/>
          <w:szCs w:val="43"/>
        </w:rPr>
        <w:t>?</w:t>
      </w:r>
    </w:p>
    <w:p w:rsidR="00AA489A" w:rsidRDefault="00AA489A" w:rsidP="00AA489A">
      <w:pPr>
        <w:pStyle w:val="has-drop-cap"/>
        <w:shd w:val="clear" w:color="auto" w:fill="F5EBE5"/>
        <w:spacing w:before="0" w:beforeAutospacing="0" w:after="240" w:afterAutospacing="0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Dla Polski kierunek po przemianach roku 1989 był oczywisty – Unia Europejska i NATO, jak najdalej od bloku sowieckiego. Co ciekawe, zachodni realiści, myślący w kategoriach gry mocarstw, mówili: „NATO dokonało ekspansji na wschód” – i takie drażnienie rosyjskiego niedźwiedzia jest ryzykowne. Polacy raczej mówili: „Polska dołączyła do Zachodu” – i jest to ukoronowaniem olbrzymiego wysiłku wielu pokoleń, korektą Jałty. Zwracam uwagę na inny podmiot w obu zdaniach. Nie ktoś nas przesunął, tylko to my wybraliśmy.</w:t>
      </w:r>
    </w:p>
    <w:p w:rsidR="00AA489A" w:rsidRDefault="00AA489A" w:rsidP="00AA489A">
      <w:pPr>
        <w:pStyle w:val="NormalnyWeb"/>
        <w:shd w:val="clear" w:color="auto" w:fill="F5EBE5"/>
        <w:spacing w:before="0" w:beforeAutospacing="0" w:after="240" w:afterAutospacing="0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Mimo rozmaitych turbulencji (tarcza antyrakietowa!) i obcych wpływów generalny kurs prowadził na Zachód. Przystąpienie zarówno do NATO, jak i do UE dokonało się za postkomunistycznych rządów (Kwaśniewski, Miller). W ostatnich latach Polska intensyfikowała współpracę z USA i NATO, a korzystając z dobrej koniunktury gospodarczej, dokonała wielu zakupów nowoczesnej broni. Kupowano zwłaszcza w USA i w Korei, jako że te systemy były najbardziej zaawansowane technicznie i dostępne w rzeczywistości, a nie na papierze.</w:t>
      </w:r>
    </w:p>
    <w:p w:rsidR="00AA489A" w:rsidRDefault="00AA489A" w:rsidP="00AA489A">
      <w:pPr>
        <w:pStyle w:val="NormalnyWeb"/>
        <w:shd w:val="clear" w:color="auto" w:fill="F5EBE5"/>
        <w:spacing w:before="0" w:beforeAutospacing="0" w:after="0" w:afterAutospacing="0" w:line="360" w:lineRule="atLeast"/>
        <w:rPr>
          <w:rFonts w:ascii="Arial" w:hAnsi="Arial" w:cs="Arial"/>
          <w:i/>
          <w:iCs/>
          <w:color w:val="1B1A3B"/>
          <w:sz w:val="26"/>
          <w:szCs w:val="26"/>
        </w:rPr>
      </w:pPr>
      <w:r>
        <w:rPr>
          <w:rFonts w:ascii="Arial" w:hAnsi="Arial" w:cs="Arial"/>
          <w:i/>
          <w:iCs/>
          <w:color w:val="1B1A3B"/>
          <w:sz w:val="26"/>
          <w:szCs w:val="26"/>
        </w:rPr>
        <w:t>Obecnie gorącym tematem staje się program skoordynowanych zakupów broni w ramach Unii Europejskiej – Security Action for Europe (SAFE). Ma być oparty na wspólnym kredycie, podobnie jak KPO, o którym wolelibyśmy zapomnieć. Kredyt jest tak długoterminowy, że nie wiadomo, jak będzie wtedy wyglądać Unia i czy w ogóle będzie istnieć. No i oczywiście czy Rosjanie za chwilę nie powiedzą „Sprawdzam!”. Kredyt jest wspólny, pod kontrolą Brukseli. Ma być obwarowany klauzulą praworządności, czyli wszyscy płacą, a grzeczni dostają. Może to mieć krytyczne znaczenie podczas wyborów 2027 – cukierek albo psikus. Odgórna kontrola wymusi to, że zakup będzie bardziej dostosowany do potrzeb przemysłu niemieckiego i francuskiego niż do strategii wojskowej. Obiecuje się, że wiele z tych środków zostanie w Polsce, ale chciałbym to zobaczyć.</w:t>
      </w:r>
    </w:p>
    <w:p w:rsidR="00AA489A" w:rsidRDefault="00AA489A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</w:p>
    <w:p w:rsidR="007B370E" w:rsidRPr="007B370E" w:rsidRDefault="007B370E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W </w:t>
      </w: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polskich mediach widzę tylko tyle, że będzie to panaceum na nasze troski, że „Polska stanie się bezpieczniejsza”, że „popłyną miliardy z Brukseli”. Coś tam zbudują, sypną groszem, będą miejsca pracy. Wiem, że to polityczna propaganda, ale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co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jest za tym? Polska potrzebuje najbardziej nie miejsc pracy, lecz działających systemów obronnych na najwyższym poziomie. Polska obecnie ma wiele systemów z USA i Korei. Czy będą wspierane i rozwijane? Kto zadba o kompatybilność z nowymi zakupami? To są wielkie i skomplikowane projekty. Kto to ma zrobić? Niemcy mają na koncie serię projektów informatycznych i infrastrukturalnych, które ugrzęzły w piachu. Volkswagen po ambitnych planach i milionowych stratach (firma CARIAD), używa jako bazy softwarowej China Electric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Architecture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(CEA) firmy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Xpeng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. Niemcy tylko dopasowują dialog z użytkownikiem. Wątpliwości dotyczą więc też faktycznej wartości bojowej niemieckiego sprzętu opartego na wysokich technologiach.</w:t>
      </w:r>
    </w:p>
    <w:p w:rsidR="007B370E" w:rsidRPr="007B370E" w:rsidRDefault="007B370E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Precyzyjne specyfikacje systemów obronnych nie są jawne. Zostaniemy z amerykańskimi traktowanymi po macoszemu i europejskimi na papierze, dostarczanymi w homeopatycznych ilościach. Przy zepsuciu stosunków z USA, do czego dąży rząd, serwis systemów amerykańskich może być zagrożony. Nie należy zakładać, że w przypadku produktów europejskich nie wystąpią takie same problemy. Do tego jest w tym za dużo biurokracji. Urzędowo zatwierdzony plan zakupów na dekady to myślenie XIX-wieczne. Dzisiejsze systemy obronne ewoluują o wiele szybciej, a w warunkach bojowych istotne są miesiące i tygodnie. Program nieuwzględniający ciągłych zmian jest dobry dla urzędników i ich sprawozdawczości. Do tego w obecnej Polsce każda energiczna decyzja jest zagrożona komisją śledczą i listami gończymi w całej Europie.</w:t>
      </w:r>
    </w:p>
    <w:p w:rsidR="007B370E" w:rsidRPr="007B370E" w:rsidRDefault="007B370E" w:rsidP="007B370E">
      <w:pPr>
        <w:shd w:val="clear" w:color="auto" w:fill="F5EBE5"/>
        <w:spacing w:after="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Pamiętajmy, że za kilka lat w Niemczech może rządzić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AfD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. To może sporo zmienić w stosunkach Niemiec z Unią, ale w stosunkach z Rosją niekoniecznie. Taka SPD (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Schröder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!) ma intensywne powiązania z Rosją, przemysł tęskni za otwarciem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Nord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Stream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, a nawet proamerykański (?) kanclerz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Merz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głosi, że Rosja to „największy </w:t>
      </w:r>
      <w:r w:rsidRPr="007B370E">
        <w:rPr>
          <w:rFonts w:ascii="Calibri" w:eastAsia="Times New Roman" w:hAnsi="Calibri" w:cs="Calibri"/>
          <w:b/>
          <w:bCs/>
          <w:i/>
          <w:iCs/>
          <w:color w:val="000000"/>
          <w:sz w:val="17"/>
          <w:lang w:eastAsia="pl-PL"/>
        </w:rPr>
        <w:t>sąsiad</w:t>
      </w: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 Niemiec na wschodzie”. W interesie Niemiec może być nie tyle siła Polski, lecz raczej jej powstrzymanie przed samodzielnością i zadbanie, by była spolegliwa wobec przyjaznych stosunków Niemiec i Rosji. Skojarzenia narzucają się same. A kosztowna armia, podobnie jak świetna armia Czechosłowacji w 1938 r., przepadnie i zostanie zagospodarowana przez kogoś innego.</w:t>
      </w:r>
    </w:p>
    <w:p w:rsidR="007B370E" w:rsidRPr="007B370E" w:rsidRDefault="007B370E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W aspekcie finansowym Bruksela nie potrafiła się powstrzymać od dodania „klauzuli praworządności”. W przypadku KPO zastosowano ją do politycznego szantażu: najpierw ostrożnie, potem z pełną mocą. Wypłata funduszy została katastrofalnie </w:t>
      </w: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lastRenderedPageBreak/>
        <w:t xml:space="preserve">opóźniona, w końcu wydawano szybko na byle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co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. W praktyce oznacza to, że zależnie od uznania centrali, fundusze mogą być wstrzymane w każdej chwili,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co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w sprawach obronności oznacza sabotaż w interesie naszych wrogów. W rzeczywistości nie są to zresztą żadne „brukselskie” pieniądze, lecz polskie, które ktoś inny pozwala nam wydać (albo i nie), a do tego chce decydować, na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co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.</w:t>
      </w:r>
    </w:p>
    <w:p w:rsidR="007B370E" w:rsidRPr="007B370E" w:rsidRDefault="007B370E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Jeżeli chodzi o „solidarność europejską”, widzieliśmy dość przykładów. Przez osiem lat Polska była szykanowana na każdym kroku. Dynamiczna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polska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gospodarka, motor Unii, była tłamszona dla zapewnienia niemieckiej hegemonii. Interes niemiecki był ważniejszy od interesu wspólnoty. Podobne zachowania znają też Francuzi (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energia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atomowa) i prawdopodobnie inne kraje. Po zmianie władzy w 2023 r. można się było spodziewać przyjaznych gestów wobec Polski, żeby uwiarygodnić nowy rząd wobec całego społeczeństwa. Nic takiego nie nastąpiło, wręcz przeciwnie. Nawet proeuropejskiemu rządowi pokazano jego miejsce w szeregu. Dlaczego teraz miałoby być inaczej?</w:t>
      </w:r>
    </w:p>
    <w:p w:rsidR="007B370E" w:rsidRPr="007B370E" w:rsidRDefault="007B370E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Unia również w sprawie pakietu klimatycznego pokazała, że się niczego nie uczy. Gospodarki europejskie (w tym niemiecka może najbardziej) jęczą pod ciężarem obciążeń związanych z „ochroną klimatu”. Tymczasem cele mają zostać jeszcze zaostrzone. Sytuacja jest napięta, a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eurokraci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usadowieni wygodnie w fotelach planują świetlaną przyszłość. Zdecydowane działanie, a nawet brutalność Amerykanów mogą razić, ale wakacje się skończyły.</w:t>
      </w:r>
    </w:p>
    <w:p w:rsidR="007B370E" w:rsidRPr="007B370E" w:rsidRDefault="007B370E" w:rsidP="007B370E">
      <w:pPr>
        <w:shd w:val="clear" w:color="auto" w:fill="F5EBE5"/>
        <w:spacing w:after="24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Oczywiście krytycy są miażdżeni demagogiczną, choć chwytliwą kampanią: nie chcecie pieniędzy, miejsc pracy, bezpiecznej Polski? Toście agenci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Putina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. Połowa społeczeństwa to kupuje, bo drugiej połowy nie cierpi. Dopóki Rosjanie nie stoją na linii Wisły, dyskusja przebiega po liniach partyjnych, a i potem niekoniecznie będzie lepiej. Plan </w:t>
      </w:r>
      <w:proofErr w:type="spellStart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>Biezmienowa</w:t>
      </w:r>
      <w:proofErr w:type="spellEnd"/>
      <w:r w:rsidRPr="007B370E">
        <w:rPr>
          <w:rFonts w:ascii="Calibri" w:eastAsia="Times New Roman" w:hAnsi="Calibri" w:cs="Calibri"/>
          <w:color w:val="000000"/>
          <w:sz w:val="17"/>
          <w:szCs w:val="17"/>
          <w:lang w:eastAsia="pl-PL"/>
        </w:rPr>
        <w:t xml:space="preserve"> wobec społeczeństwa polskiego okazał się dość skuteczny. Ale niech żywi nie tracą nadziei… podobnie już było kilka razy. Kto ma sprawną głowę, niech myśli i wymienia się myślami z innymi. Ale czasu jest mało.</w:t>
      </w:r>
    </w:p>
    <w:p w:rsidR="007B370E" w:rsidRPr="007B370E" w:rsidRDefault="007B370E" w:rsidP="007B370E">
      <w:pPr>
        <w:shd w:val="clear" w:color="auto" w:fill="F5EBE5"/>
        <w:spacing w:after="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 w:rsidRPr="007B370E">
        <w:rPr>
          <w:rFonts w:ascii="Calibri" w:eastAsia="Times New Roman" w:hAnsi="Calibri" w:cs="Calibri"/>
          <w:i/>
          <w:iCs/>
          <w:color w:val="000000"/>
          <w:sz w:val="17"/>
          <w:lang w:eastAsia="pl-PL"/>
        </w:rPr>
        <w:t>Tekst pierwotnie ukazał się na łamach </w:t>
      </w:r>
      <w:hyperlink r:id="rId4" w:history="1">
        <w:r w:rsidRPr="007B370E">
          <w:rPr>
            <w:rFonts w:ascii="Calibri" w:eastAsia="Times New Roman" w:hAnsi="Calibri" w:cs="Calibri"/>
            <w:i/>
            <w:iCs/>
            <w:color w:val="000000"/>
            <w:sz w:val="17"/>
            <w:u w:val="single"/>
            <w:lang w:eastAsia="pl-PL"/>
          </w:rPr>
          <w:t xml:space="preserve">„Wszystko </w:t>
        </w:r>
        <w:proofErr w:type="spellStart"/>
        <w:r w:rsidRPr="007B370E">
          <w:rPr>
            <w:rFonts w:ascii="Calibri" w:eastAsia="Times New Roman" w:hAnsi="Calibri" w:cs="Calibri"/>
            <w:i/>
            <w:iCs/>
            <w:color w:val="000000"/>
            <w:sz w:val="17"/>
            <w:u w:val="single"/>
            <w:lang w:eastAsia="pl-PL"/>
          </w:rPr>
          <w:t>co</w:t>
        </w:r>
        <w:proofErr w:type="spellEnd"/>
        <w:r w:rsidRPr="007B370E">
          <w:rPr>
            <w:rFonts w:ascii="Calibri" w:eastAsia="Times New Roman" w:hAnsi="Calibri" w:cs="Calibri"/>
            <w:i/>
            <w:iCs/>
            <w:color w:val="000000"/>
            <w:sz w:val="17"/>
            <w:u w:val="single"/>
            <w:lang w:eastAsia="pl-PL"/>
          </w:rPr>
          <w:t xml:space="preserve"> Najważniejsze”</w:t>
        </w:r>
      </w:hyperlink>
      <w:r w:rsidRPr="007B370E">
        <w:rPr>
          <w:rFonts w:ascii="Calibri" w:eastAsia="Times New Roman" w:hAnsi="Calibri" w:cs="Calibri"/>
          <w:i/>
          <w:iCs/>
          <w:color w:val="000000"/>
          <w:sz w:val="17"/>
          <w:lang w:eastAsia="pl-PL"/>
        </w:rPr>
        <w:t xml:space="preserve">. </w:t>
      </w:r>
    </w:p>
    <w:p w:rsidR="007B370E" w:rsidRPr="007B370E" w:rsidRDefault="007B370E" w:rsidP="007B370E">
      <w:pPr>
        <w:shd w:val="clear" w:color="auto" w:fill="F5EBE5"/>
        <w:spacing w:after="0" w:line="240" w:lineRule="auto"/>
        <w:rPr>
          <w:rFonts w:ascii="Calibri" w:eastAsia="Times New Roman" w:hAnsi="Calibri" w:cs="Calibri"/>
          <w:color w:val="000000"/>
          <w:sz w:val="17"/>
          <w:szCs w:val="17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17"/>
          <w:szCs w:val="17"/>
          <w:lang w:eastAsia="pl-PL"/>
        </w:rPr>
        <w:drawing>
          <wp:inline distT="0" distB="0" distL="0" distR="0">
            <wp:extent cx="762000" cy="762000"/>
            <wp:effectExtent l="19050" t="0" r="0" b="0"/>
            <wp:docPr id="1" name="Obraz 1" descr="Zdjęcie autora: Jan ŚLI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jęcie autora: Jan ŚLIW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70E" w:rsidRPr="007B370E" w:rsidRDefault="007B370E" w:rsidP="007B370E">
      <w:pPr>
        <w:shd w:val="clear" w:color="auto" w:fill="F5EBE5"/>
        <w:spacing w:after="0" w:line="336" w:lineRule="atLeast"/>
        <w:outlineLvl w:val="2"/>
        <w:rPr>
          <w:rFonts w:ascii="Arial" w:eastAsia="Times New Roman" w:hAnsi="Arial" w:cs="Arial"/>
          <w:b/>
          <w:bCs/>
          <w:color w:val="1B1A3B"/>
          <w:sz w:val="24"/>
          <w:szCs w:val="24"/>
          <w:lang w:eastAsia="pl-PL"/>
        </w:rPr>
      </w:pPr>
      <w:r w:rsidRPr="007B370E">
        <w:rPr>
          <w:rFonts w:ascii="Arial" w:eastAsia="Times New Roman" w:hAnsi="Arial" w:cs="Arial"/>
          <w:b/>
          <w:bCs/>
          <w:color w:val="1B1A3B"/>
          <w:sz w:val="24"/>
          <w:szCs w:val="24"/>
          <w:lang w:eastAsia="pl-PL"/>
        </w:rPr>
        <w:t>Jan ŚLIWA</w:t>
      </w:r>
    </w:p>
    <w:p w:rsidR="007B370E" w:rsidRPr="007B370E" w:rsidRDefault="007B370E" w:rsidP="007B370E">
      <w:pPr>
        <w:shd w:val="clear" w:color="auto" w:fill="F5EBE5"/>
        <w:spacing w:after="100" w:afterAutospacing="1" w:line="360" w:lineRule="atLeast"/>
        <w:rPr>
          <w:rFonts w:ascii="Calibri" w:eastAsia="Times New Roman" w:hAnsi="Calibri" w:cs="Calibri"/>
          <w:color w:val="000000"/>
          <w:sz w:val="15"/>
          <w:szCs w:val="15"/>
          <w:lang w:eastAsia="pl-PL"/>
        </w:rPr>
      </w:pPr>
      <w:r w:rsidRPr="007B370E">
        <w:rPr>
          <w:rFonts w:ascii="Calibri" w:eastAsia="Times New Roman" w:hAnsi="Calibri" w:cs="Calibri"/>
          <w:color w:val="000000"/>
          <w:sz w:val="15"/>
          <w:szCs w:val="15"/>
          <w:lang w:eastAsia="pl-PL"/>
        </w:rPr>
        <w:t>Pasjonat języków i kultury. Informatyk. Publikuje na tematy związane z ochroną danych, badaniami medycznymi, etyką i społecznymi aspektami technologii. Mieszka i pracuje w Szwajcarii.</w:t>
      </w:r>
    </w:p>
    <w:p w:rsidR="00DB1065" w:rsidRDefault="00DB1065"/>
    <w:p w:rsidR="007B370E" w:rsidRDefault="007B370E"/>
    <w:sectPr w:rsidR="007B370E" w:rsidSect="00DB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7B370E"/>
    <w:rsid w:val="00574419"/>
    <w:rsid w:val="007B370E"/>
    <w:rsid w:val="00AA489A"/>
    <w:rsid w:val="00C51232"/>
    <w:rsid w:val="00DB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06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8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B3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B37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has-drop-cap">
    <w:name w:val="has-drop-cap"/>
    <w:basedOn w:val="Normalny"/>
    <w:rsid w:val="007B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370E"/>
    <w:rPr>
      <w:b/>
      <w:bCs/>
    </w:rPr>
  </w:style>
  <w:style w:type="character" w:styleId="Uwydatnienie">
    <w:name w:val="Emphasis"/>
    <w:basedOn w:val="Domylnaczcionkaakapitu"/>
    <w:uiPriority w:val="20"/>
    <w:qFormat/>
    <w:rsid w:val="007B370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370E"/>
    <w:rPr>
      <w:color w:val="0000FF"/>
      <w:u w:val="single"/>
    </w:rPr>
  </w:style>
  <w:style w:type="paragraph" w:customStyle="1" w:styleId="has-small-font-size">
    <w:name w:val="has-small-font-size"/>
    <w:basedOn w:val="Normalny"/>
    <w:rsid w:val="007B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70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8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337">
          <w:blockQuote w:val="1"/>
          <w:marLeft w:val="0"/>
          <w:marRight w:val="0"/>
          <w:marTop w:val="0"/>
          <w:marBottom w:val="720"/>
          <w:divBdr>
            <w:top w:val="none" w:sz="0" w:space="0" w:color="auto"/>
            <w:left w:val="single" w:sz="8" w:space="24" w:color="AB1A19"/>
            <w:bottom w:val="none" w:sz="0" w:space="0" w:color="auto"/>
            <w:right w:val="none" w:sz="0" w:space="0" w:color="auto"/>
          </w:divBdr>
        </w:div>
      </w:divsChild>
    </w:div>
    <w:div w:id="104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szystkoconajwazniejsz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988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4</cp:revision>
  <dcterms:created xsi:type="dcterms:W3CDTF">2026-03-21T18:01:00Z</dcterms:created>
  <dcterms:modified xsi:type="dcterms:W3CDTF">2026-03-21T18:06:00Z</dcterms:modified>
</cp:coreProperties>
</file>